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2051"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儿童医院垃圾站—垃圾减量设施采购项目（重新招标）</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w:t>
      </w:r>
      <w:r>
        <w:rPr>
          <w:rFonts w:asciiTheme="minorEastAsia" w:hAnsiTheme="minorEastAsia" w:eastAsiaTheme="minorEastAsia"/>
          <w:b/>
          <w:snapToGrid w:val="0"/>
          <w:kern w:val="0"/>
          <w:sz w:val="32"/>
        </w:rPr>
        <w:t>SZZZ2021-QA0</w:t>
      </w:r>
      <w:r>
        <w:rPr>
          <w:rFonts w:hint="eastAsia" w:asciiTheme="minorEastAsia" w:hAnsiTheme="minorEastAsia" w:eastAsiaTheme="minorEastAsia"/>
          <w:b/>
          <w:snapToGrid w:val="0"/>
          <w:kern w:val="0"/>
          <w:sz w:val="32"/>
        </w:rPr>
        <w:t>353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儿童医院垃圾站—垃圾减量设施采购项目（重新招标）</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年1月</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SZZZ2021-QA0353</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儿童医院垃圾站—垃圾减量设施采购项目（重新招标）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45</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45</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7、合同履行期限：签订合同之日起23天（日历日）内交货</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2021年12月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日至202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名称：深圳市儿童医院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地址：广东省深圳市福田区益田路7019号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12</w:t>
      </w:r>
      <w:r>
        <w:rPr>
          <w:rFonts w:ascii="宋体" w:hAnsi="宋体"/>
          <w:snapToGrid w:val="0"/>
          <w:kern w:val="0"/>
          <w:sz w:val="24"/>
        </w:rPr>
        <w:t>月</w:t>
      </w:r>
      <w:r>
        <w:rPr>
          <w:rFonts w:hint="eastAsia" w:ascii="宋体" w:hAnsi="宋体"/>
          <w:snapToGrid w:val="0"/>
          <w:kern w:val="0"/>
          <w:sz w:val="24"/>
          <w:lang w:val="en-US" w:eastAsia="zh-CN"/>
        </w:rPr>
        <w:t>28</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儿童医院垃圾站—垃圾减量设施采购项目（重新招标）</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450,000.00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提升机</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双辊式破碎机</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固液分离机</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螺旋输送机</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臭氧发生器</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w:t>
      </w:r>
      <w:r>
        <w:rPr>
          <w:rFonts w:hint="eastAsia" w:ascii="宋体" w:hAnsi="宋体" w:eastAsia="宋体" w:cs="Times New Roman"/>
          <w:b/>
          <w:color w:val="auto"/>
          <w:kern w:val="2"/>
          <w:sz w:val="21"/>
          <w:szCs w:val="21"/>
        </w:rPr>
        <w:t>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b/>
          <w:color w:val="auto"/>
          <w:kern w:val="2"/>
          <w:sz w:val="21"/>
          <w:szCs w:val="21"/>
        </w:rPr>
        <w:t>，标的名称详见以上货物清单明细。</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w:t>
      </w:r>
      <w:r>
        <w:rPr>
          <w:rFonts w:hint="eastAsia" w:ascii="宋体" w:hAnsi="宋体"/>
          <w:b/>
          <w:bCs/>
          <w:snapToGrid w:val="0"/>
          <w:szCs w:val="21"/>
        </w:rPr>
        <w:t>本项目核心产品为：</w:t>
      </w:r>
      <w:r>
        <w:rPr>
          <w:rFonts w:hint="eastAsia" w:ascii="宋体" w:hAnsi="宋体"/>
          <w:b/>
          <w:bCs/>
          <w:snapToGrid w:val="0"/>
          <w:szCs w:val="21"/>
          <w:u w:val="single"/>
        </w:rPr>
        <w:t>固液分离机</w:t>
      </w:r>
      <w:r>
        <w:rPr>
          <w:rFonts w:hint="eastAsia" w:ascii="宋体" w:hAnsi="宋体"/>
          <w:b/>
          <w:bCs/>
          <w:snapToGrid w:val="0"/>
          <w:szCs w:val="21"/>
        </w:rPr>
        <w:t>。</w:t>
      </w:r>
      <w:r>
        <w:rPr>
          <w:rFonts w:hint="eastAsia" w:ascii="宋体" w:hAnsi="宋体"/>
          <w:bCs/>
          <w:snapToGrid w:val="0"/>
          <w:kern w:val="0"/>
          <w:szCs w:val="21"/>
        </w:rPr>
        <w:t>如同时有两家或两家以上（均为制造商的合法代理商）通过资格审查及符合性审查的合格投标人</w:t>
      </w:r>
      <w:r>
        <w:rPr>
          <w:rFonts w:hint="eastAsia" w:ascii="宋体" w:hAnsi="宋体"/>
          <w:b/>
          <w:bCs/>
          <w:snapToGrid w:val="0"/>
          <w:kern w:val="0"/>
          <w:szCs w:val="21"/>
        </w:rPr>
        <w:t>所投核心产品为相同品牌的，按一家投标人计算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提升机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1.1  设备具有自动上料提升，自动翻转装置。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1.2  PLC控制系统，一键操作，实现提升、暂停、复位功能。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  能放置提升660升规格的垃圾桶。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1.4  1.5至3米的提升高度。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1.5  能提升400kg以上重量。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1.6  功率：5.5kw。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1.7  电压：380V。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垃圾减量机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2.1  双辊式破碎，规格：1340*580*1400。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2.2  轴直径Φ100，刀具规格Φ200*30=30片。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2.3  功率：11kw。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2.4  电压：380V。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2.5  处理量：2.5t/h。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2.6  PLC控制系统，一键操作，卡机时可自动反转。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vAlign w:val="center"/>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▲2.7  设备运行噪声＜63dB（A）。</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▲2.8符合厂界环境噪声排放标准：1类声环境功能区，厂界外噪声昼间＜55 dB（A），夜间＜45dB（A）。</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【要求</w:t>
            </w:r>
            <w:r>
              <w:rPr>
                <w:rFonts w:hint="eastAsia"/>
              </w:rPr>
              <w:t>由合法设立的第三方检测机构在准许范围内出具的检测报告，</w:t>
            </w:r>
            <w:r>
              <w:rPr>
                <w:rFonts w:hint="eastAsia" w:asciiTheme="minorEastAsia" w:hAnsiTheme="minorEastAsia" w:eastAsiaTheme="minorEastAsia"/>
                <w:szCs w:val="21"/>
              </w:rPr>
              <w:t>检测报告日期为2021年内，委托单位必须为投标人，原件备查】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固液分离机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3.1  功率：1.1kw。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3.2  电压：380V。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▲3.3  设备机身、机壳、筛条材质为304不锈钢。</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▲3.4  设备叠片为430不锈钢。</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【要求</w:t>
            </w:r>
            <w:r>
              <w:rPr>
                <w:rFonts w:hint="eastAsia"/>
              </w:rPr>
              <w:t>由合法设立的第三方检测机构在准许范围内出具的检测报告，</w:t>
            </w:r>
            <w:r>
              <w:rPr>
                <w:rFonts w:hint="eastAsia" w:asciiTheme="minorEastAsia" w:hAnsiTheme="minorEastAsia" w:eastAsiaTheme="minorEastAsia"/>
                <w:szCs w:val="21"/>
              </w:rPr>
              <w:t>检测报告日期为2021年内，委托单位必须为投标人，原件备查】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3.5  规格：1420*1060*970。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3.6  处理量：2.5t/h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3.7  PLC控制系统，自清洁功能，无需反冲洗。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螺旋输送机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4.1  功率：7.5kw，PLC控制系统。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4.2  电压：380V。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4.3  输送量：3t/h。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4.4  长度4米，壳体厚度:3mm，叶片厚度：16mm。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4.5  材质为304不锈钢。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cs="宋体"/>
                <w:b/>
                <w:bCs/>
              </w:rPr>
              <w:t>臭氧发生器</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5.1  臭氧量：20g/h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5.2  冷却方式：风冷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5.3  功率：500W，电压：220V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5.4  规格：60*35*60,材质为304不锈钢</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质保</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w:t>
            </w:r>
            <w:r>
              <w:rPr>
                <w:rFonts w:hint="eastAsia" w:asciiTheme="minorEastAsia" w:hAnsiTheme="minorEastAsia" w:eastAsiaTheme="minorEastAsia"/>
                <w:b/>
                <w:szCs w:val="21"/>
                <w:highlight w:val="yellow"/>
              </w:rPr>
              <w:t>各投标人应在投标文件中列明各主机、配件和易耗品的保修期限,并承诺提供整机免费保修期 2 年,终身维修。保修期内,年度定期预防性维护保养次数应不少于</w:t>
            </w:r>
            <w:r>
              <w:rPr>
                <w:rFonts w:hint="eastAsia" w:asciiTheme="minorEastAsia" w:hAnsiTheme="minorEastAsia" w:eastAsiaTheme="minorEastAsia"/>
                <w:b/>
                <w:szCs w:val="21"/>
                <w:highlight w:val="yellow"/>
                <w:u w:val="single"/>
              </w:rPr>
              <w:t xml:space="preserve"> 二 </w:t>
            </w:r>
            <w:r>
              <w:rPr>
                <w:rFonts w:hint="eastAsia" w:asciiTheme="minorEastAsia" w:hAnsiTheme="minorEastAsia" w:eastAsiaTheme="minorEastAsia"/>
                <w:b/>
                <w:szCs w:val="21"/>
                <w:highlight w:val="yellow"/>
              </w:rPr>
              <w:t>次。保修期内免费更换零配件、免工时费（耗材除外）。时间自验收合格并交付使用之日起计算。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▲1.2投标人负责货物的终身维修，保证</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年以上供应维修配件，</w:t>
            </w:r>
            <w:r>
              <w:rPr>
                <w:rFonts w:hint="eastAsia" w:asciiTheme="minorEastAsia" w:hAnsiTheme="minorEastAsia" w:eastAsiaTheme="minorEastAsia"/>
                <w:kern w:val="0"/>
                <w:szCs w:val="21"/>
                <w:u w:val="single"/>
              </w:rPr>
              <w:t xml:space="preserve"> 终身  </w:t>
            </w:r>
            <w:r>
              <w:rPr>
                <w:rFonts w:hint="eastAsia" w:asciiTheme="minorEastAsia" w:hAnsiTheme="minorEastAsia" w:eastAsiaTheme="minorEastAsia"/>
                <w:kern w:val="0"/>
                <w:szCs w:val="21"/>
              </w:rPr>
              <w:t>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售后响应和维修</w:t>
            </w:r>
          </w:p>
        </w:tc>
        <w:tc>
          <w:tcPr>
            <w:tcW w:w="7559" w:type="dxa"/>
          </w:tcPr>
          <w:p>
            <w:pPr>
              <w:spacing w:line="360" w:lineRule="auto"/>
              <w:rPr>
                <w:rFonts w:asciiTheme="minorEastAsia" w:hAnsiTheme="minorEastAsia" w:eastAsiaTheme="minorEastAsia"/>
                <w:color w:val="FF0000"/>
                <w:kern w:val="0"/>
                <w:szCs w:val="21"/>
              </w:rPr>
            </w:pPr>
            <w:r>
              <w:rPr>
                <w:rFonts w:hint="eastAsia" w:ascii="宋体" w:hAnsi="宋体" w:cs="TimesNewRoman"/>
                <w:kern w:val="0"/>
                <w:szCs w:val="21"/>
              </w:rPr>
              <w:t>▲</w:t>
            </w:r>
            <w:r>
              <w:rPr>
                <w:rFonts w:hint="eastAsia" w:asciiTheme="minorEastAsia" w:hAnsiTheme="minorEastAsia" w:eastAsiaTheme="minorEastAsia"/>
                <w:kern w:val="0"/>
                <w:szCs w:val="21"/>
              </w:rPr>
              <w:t>2.1</w:t>
            </w:r>
            <w:r>
              <w:rPr>
                <w:rFonts w:hint="eastAsia" w:ascii="宋体" w:hAnsi="宋体"/>
                <w:kern w:val="0"/>
                <w:szCs w:val="21"/>
              </w:rPr>
              <w:t>由投标人提供售后服务，</w:t>
            </w:r>
            <w:r>
              <w:rPr>
                <w:rFonts w:hint="eastAsia" w:ascii="宋体" w:hAnsi="宋体"/>
                <w:bCs/>
                <w:kern w:val="0"/>
                <w:szCs w:val="21"/>
                <w:u w:val="single"/>
              </w:rPr>
              <w:t xml:space="preserve"> 90 </w:t>
            </w:r>
            <w:r>
              <w:rPr>
                <w:rFonts w:hint="eastAsia" w:ascii="宋体" w:hAnsi="宋体"/>
                <w:bCs/>
                <w:kern w:val="0"/>
                <w:szCs w:val="21"/>
              </w:rPr>
              <w:t>分钟</w:t>
            </w:r>
            <w:r>
              <w:rPr>
                <w:rFonts w:hint="eastAsia" w:ascii="宋体" w:hAnsi="宋体"/>
                <w:kern w:val="0"/>
                <w:szCs w:val="21"/>
              </w:rPr>
              <w:t>内响应，</w:t>
            </w:r>
            <w:r>
              <w:rPr>
                <w:rFonts w:hint="eastAsia" w:ascii="宋体" w:hAnsi="宋体"/>
                <w:bCs/>
                <w:kern w:val="0"/>
                <w:szCs w:val="21"/>
                <w:u w:val="single"/>
              </w:rPr>
              <w:t xml:space="preserve"> 12  </w:t>
            </w:r>
            <w:r>
              <w:rPr>
                <w:rFonts w:hint="eastAsia" w:ascii="宋体" w:hAnsi="宋体"/>
                <w:kern w:val="0"/>
                <w:szCs w:val="21"/>
              </w:rPr>
              <w:t>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rPr>
              <w:t>23</w:t>
            </w:r>
            <w:r>
              <w:rPr>
                <w:rFonts w:hint="eastAsia" w:asciiTheme="minorEastAsia" w:hAnsiTheme="minorEastAsia" w:eastAsiaTheme="minorEastAsia"/>
                <w:b/>
                <w:bCs/>
                <w:kern w:val="0"/>
                <w:szCs w:val="21"/>
                <w:highlight w:val="yellow"/>
              </w:rPr>
              <w:t>天（日历日）内交货。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1.2投标人应提供货物的技术文件，包括但不限于设备配置清单、产品说明书、图纸、操作手册、维护手册（含维修密码及接口数据）、质量保证文件、服务指南等，文件应随货物一并交付至采购人指定地点。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1.3提供的货物必须为全新、经检验合格的产品。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▲2.1投标人负责将货物安全无损运抵采购人指定地点,并承担设备的包装、运输、装卸、安装调试、培训。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▲2.2投标人应派有经验的技术人员到现场进行安装、调试，直到设备正常使用。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2.3采购人有权检验或测试货物，以确认货物是否符合合同规格的要求，并且不承担额外的费用。如果发现所交货物与投标文件中所承诺的不符或存在质量、技术缺陷等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szCs w:val="21"/>
              </w:rPr>
              <w:t>,</w:t>
            </w:r>
            <w:r>
              <w:rPr>
                <w:rFonts w:hint="eastAsia" w:asciiTheme="minorEastAsia" w:hAnsiTheme="minorEastAsia" w:eastAsiaTheme="minorEastAsia"/>
                <w:bCs/>
                <w:szCs w:val="21"/>
              </w:rPr>
              <w:t>采购人可以拒绝接收该货物</w:t>
            </w:r>
            <w:r>
              <w:rPr>
                <w:rFonts w:asciiTheme="minorEastAsia" w:hAnsiTheme="minorEastAsia" w:eastAsiaTheme="minorEastAsia"/>
                <w:bCs/>
                <w:szCs w:val="21"/>
              </w:rPr>
              <w:t>,</w:t>
            </w:r>
            <w:r>
              <w:rPr>
                <w:rFonts w:hint="eastAsia" w:asciiTheme="minorEastAsia" w:hAnsiTheme="minorEastAsia" w:eastAsiaTheme="minorEastAsia"/>
                <w:bCs/>
                <w:szCs w:val="21"/>
              </w:rPr>
              <w:t>投标人应在 5 天内采取补足、更换或退货等措施</w:t>
            </w:r>
            <w:r>
              <w:rPr>
                <w:rFonts w:asciiTheme="minorEastAsia" w:hAnsiTheme="minorEastAsia" w:eastAsiaTheme="minorEastAsia"/>
                <w:bCs/>
                <w:szCs w:val="21"/>
              </w:rPr>
              <w:t>,</w:t>
            </w:r>
            <w:r>
              <w:rPr>
                <w:rFonts w:hint="eastAsia" w:asciiTheme="minorEastAsia" w:hAnsiTheme="minorEastAsia" w:eastAsiaTheme="minorEastAsia"/>
                <w:bCs/>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bCs/>
                <w:szCs w:val="21"/>
              </w:rPr>
              <w:t>,</w:t>
            </w:r>
            <w:r>
              <w:rPr>
                <w:rFonts w:hint="eastAsia" w:asciiTheme="minorEastAsia" w:hAnsiTheme="minorEastAsia" w:eastAsiaTheme="minorEastAsia"/>
                <w:bCs/>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4.1</w:t>
            </w:r>
            <w:r>
              <w:rPr>
                <w:rFonts w:hint="eastAsia" w:ascii="宋体" w:hAnsi="宋体"/>
                <w:szCs w:val="21"/>
              </w:rPr>
              <w:t>签订合同后15个工作日内支付合同总价30%，设备安装调试完成，经甲、乙双方验收合格后，15个工作日内支付合同总价65%，质保期满后支付剩余5%。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▲5.2投标人所交设备的品种、型号、规格、质量、功能、技术参数等方面不能实质性满足招标文件要约的，采购人有权拒绝收货，投标人向采购人偿付项目采购金额千分之 二十  （千分之十以上千分之二十以下）的违约金；造成严重后果的，根据《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5.3投标人不能交付设备的，投标人向采购人偿付项目采购金额千分之 十  （千分之十以上千分之二十以下）的违约金；造成严重后果的，根据《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▲5.4投标人逾期未交设备的，投标人向采购人每日偿付设备款千分之 十  （千分之十以上千分之二十以下）的违约金。投标人超过交货期限  10  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6.1投标人应按其投标文件中的承诺，进行其他售后服务工作。</w:t>
            </w:r>
          </w:p>
        </w:tc>
      </w:tr>
    </w:tbl>
    <w:p>
      <w:pPr>
        <w:widowControl/>
        <w:jc w:val="left"/>
      </w:pPr>
    </w:p>
    <w:p/>
    <w:p>
      <w:pPr>
        <w:pStyle w:val="2"/>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73610141"/>
      <w:r>
        <w:rPr>
          <w:rFonts w:hint="eastAsia"/>
        </w:rPr>
        <w:t>第四章  评标方法和标准</w:t>
      </w:r>
      <w:bookmarkEnd w:id="3"/>
    </w:p>
    <w:p>
      <w:pPr>
        <w:pStyle w:val="4"/>
        <w:spacing w:before="0" w:after="0"/>
      </w:pPr>
      <w:bookmarkStart w:id="4" w:name="_Toc44690702"/>
      <w:bookmarkStart w:id="5" w:name="_Toc44691161"/>
      <w:bookmarkStart w:id="6" w:name="_Toc44691393"/>
      <w:bookmarkStart w:id="7" w:name="_Toc44690429"/>
      <w:bookmarkStart w:id="8" w:name="_Toc7361014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20</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spacing w:line="360" w:lineRule="auto"/>
              <w:jc w:val="left"/>
              <w:rPr>
                <w:rFonts w:ascii="宋体" w:hAnsi="宋体" w:cs="仿宋"/>
                <w:szCs w:val="21"/>
              </w:rPr>
            </w:pPr>
            <w:r>
              <w:rPr>
                <w:rFonts w:hint="eastAsia" w:ascii="宋体" w:hAnsi="宋体" w:cs="仿宋"/>
                <w:szCs w:val="21"/>
              </w:rPr>
              <w:t>投标人应如实填写《技术规格偏离表》，各项技术参数指标及要求全部满足的得 20分；“▲”参数为重要指标，每负偏离一项扣5分；其余指标每负偏离一项扣3分，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spacing w:line="360" w:lineRule="auto"/>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7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项目施工方案</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spacing w:line="360" w:lineRule="auto"/>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宋体"/>
                <w:kern w:val="0"/>
                <w:szCs w:val="21"/>
              </w:rPr>
              <w:t>项目施工方案</w:t>
            </w:r>
            <w:r>
              <w:rPr>
                <w:rFonts w:ascii="宋体" w:hAnsi="宋体" w:cs="仿宋"/>
                <w:szCs w:val="21"/>
              </w:rPr>
              <w:t>（</w:t>
            </w:r>
            <w:r>
              <w:rPr>
                <w:rFonts w:hint="eastAsia" w:ascii="宋体" w:hAnsi="宋体" w:cs="宋体"/>
                <w:szCs w:val="21"/>
              </w:rPr>
              <w:t>包括但不限于</w:t>
            </w:r>
            <w:r>
              <w:rPr>
                <w:rFonts w:hint="eastAsia"/>
              </w:rPr>
              <w:t>实施措施、工期质量保证、处理工艺、项目管理机构设置、现场实施人员人数配备</w:t>
            </w:r>
            <w:r>
              <w:rPr>
                <w:rFonts w:ascii="宋体" w:hAnsi="宋体" w:cs="仿宋"/>
                <w:szCs w:val="21"/>
              </w:rPr>
              <w:t>）</w:t>
            </w:r>
            <w:r>
              <w:rPr>
                <w:rFonts w:hint="eastAsia" w:ascii="宋体" w:hAnsi="宋体" w:cs="仿宋"/>
                <w:szCs w:val="21"/>
              </w:rPr>
              <w:t>，根据响应情况进行评审：</w:t>
            </w:r>
          </w:p>
          <w:p>
            <w:pPr>
              <w:spacing w:line="360" w:lineRule="auto"/>
              <w:jc w:val="left"/>
              <w:rPr>
                <w:rFonts w:ascii="宋体" w:hAnsi="宋体" w:cs="仿宋"/>
                <w:szCs w:val="21"/>
              </w:rPr>
            </w:pPr>
            <w:r>
              <w:rPr>
                <w:rFonts w:hint="eastAsia" w:ascii="宋体" w:hAnsi="宋体" w:cs="仿宋"/>
                <w:szCs w:val="21"/>
              </w:rPr>
              <w:t>（1）</w:t>
            </w:r>
            <w:r>
              <w:rPr>
                <w:rFonts w:hint="eastAsia" w:ascii="宋体" w:hAnsi="宋体" w:cs="宋体"/>
                <w:kern w:val="0"/>
                <w:szCs w:val="21"/>
              </w:rPr>
              <w:t>项目施工方案</w:t>
            </w:r>
            <w:r>
              <w:rPr>
                <w:rFonts w:hint="eastAsia" w:ascii="宋体" w:hAnsi="宋体" w:cs="仿宋"/>
                <w:szCs w:val="21"/>
              </w:rPr>
              <w:t>方案科学、严谨；</w:t>
            </w:r>
          </w:p>
          <w:p>
            <w:pPr>
              <w:spacing w:line="360" w:lineRule="auto"/>
              <w:jc w:val="left"/>
              <w:rPr>
                <w:rFonts w:ascii="宋体" w:hAnsi="宋体" w:cs="仿宋"/>
                <w:szCs w:val="21"/>
              </w:rPr>
            </w:pPr>
            <w:r>
              <w:rPr>
                <w:rFonts w:hint="eastAsia" w:ascii="宋体" w:hAnsi="宋体" w:cs="仿宋"/>
                <w:szCs w:val="21"/>
              </w:rPr>
              <w:t>（2）</w:t>
            </w:r>
            <w:r>
              <w:rPr>
                <w:rFonts w:hint="eastAsia" w:ascii="宋体" w:hAnsi="宋体" w:cs="宋体"/>
                <w:kern w:val="0"/>
                <w:szCs w:val="21"/>
              </w:rPr>
              <w:t>项目施工方案</w:t>
            </w:r>
            <w:r>
              <w:rPr>
                <w:rFonts w:hint="eastAsia" w:ascii="宋体" w:hAnsi="宋体" w:cs="宋体"/>
                <w:color w:val="000000" w:themeColor="text1"/>
                <w:szCs w:val="21"/>
              </w:rPr>
              <w:t>贴合实际情况及相关行业要求</w:t>
            </w:r>
            <w:r>
              <w:rPr>
                <w:rFonts w:hint="eastAsia" w:ascii="宋体" w:hAnsi="宋体" w:cs="仿宋"/>
                <w:szCs w:val="21"/>
              </w:rPr>
              <w:t>；</w:t>
            </w:r>
          </w:p>
          <w:p>
            <w:pPr>
              <w:spacing w:line="360" w:lineRule="auto"/>
              <w:jc w:val="left"/>
              <w:rPr>
                <w:rFonts w:ascii="宋体" w:hAnsi="宋体" w:cs="仿宋"/>
                <w:szCs w:val="21"/>
              </w:rPr>
            </w:pPr>
            <w:r>
              <w:rPr>
                <w:rFonts w:hint="eastAsia" w:ascii="宋体" w:hAnsi="宋体" w:cs="仿宋"/>
                <w:szCs w:val="21"/>
              </w:rPr>
              <w:t>（3）</w:t>
            </w:r>
            <w:r>
              <w:rPr>
                <w:rFonts w:hint="eastAsia" w:ascii="宋体" w:hAnsi="宋体" w:cs="宋体"/>
                <w:kern w:val="0"/>
                <w:szCs w:val="21"/>
              </w:rPr>
              <w:t>项目施工方案</w:t>
            </w:r>
            <w:r>
              <w:rPr>
                <w:rFonts w:hint="eastAsia" w:ascii="宋体" w:hAnsi="宋体" w:cs="宋体"/>
                <w:color w:val="000000" w:themeColor="text1"/>
                <w:szCs w:val="21"/>
              </w:rPr>
              <w:t>计划详细、可实施性强</w:t>
            </w:r>
            <w:r>
              <w:rPr>
                <w:rFonts w:hint="eastAsia" w:ascii="宋体" w:hAnsi="宋体" w:cs="仿宋"/>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（二）评分标准：</w:t>
            </w:r>
          </w:p>
          <w:p>
            <w:pPr>
              <w:spacing w:line="360" w:lineRule="auto"/>
              <w:jc w:val="left"/>
              <w:rPr>
                <w:rFonts w:ascii="宋体" w:hAnsi="宋体" w:cs="仿宋"/>
                <w:szCs w:val="21"/>
              </w:rPr>
            </w:pPr>
            <w:r>
              <w:rPr>
                <w:rFonts w:hint="eastAsia" w:ascii="宋体" w:hAnsi="宋体" w:cs="仿宋"/>
                <w:szCs w:val="21"/>
              </w:rPr>
              <w:t>满足以上三项要求得10分，满足以上两项要求得5分，满足以上一项要求得3分，其它情况不得分。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12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投标人应如实填写《商务条款偏离表》，评审委员会根据其中免费保修期内售后服务、其他商务要求条款响应情况进行打分。</w:t>
            </w:r>
          </w:p>
          <w:p>
            <w:pPr>
              <w:autoSpaceDE w:val="0"/>
              <w:autoSpaceDN w:val="0"/>
              <w:adjustRightInd w:val="0"/>
              <w:spacing w:line="360" w:lineRule="auto"/>
              <w:jc w:val="left"/>
              <w:rPr>
                <w:rFonts w:ascii="宋体" w:hAnsi="宋体" w:cs="宋体"/>
                <w:kern w:val="0"/>
                <w:szCs w:val="21"/>
              </w:rPr>
            </w:pPr>
            <w:r>
              <w:rPr>
                <w:rFonts w:hint="eastAsia" w:ascii="宋体" w:hAnsi="宋体"/>
                <w:kern w:val="0"/>
                <w:szCs w:val="21"/>
              </w:rPr>
              <w:t>（二）评分标准：</w:t>
            </w:r>
          </w:p>
          <w:p>
            <w:pPr>
              <w:autoSpaceDE w:val="0"/>
              <w:autoSpaceDN w:val="0"/>
              <w:adjustRightInd w:val="0"/>
              <w:spacing w:line="360" w:lineRule="auto"/>
              <w:jc w:val="left"/>
              <w:rPr>
                <w:rFonts w:ascii="宋体" w:hAnsi="宋体" w:cs="仿宋"/>
                <w:szCs w:val="21"/>
                <w:lang w:val="zh-CN"/>
              </w:rPr>
            </w:pPr>
            <w:r>
              <w:rPr>
                <w:rFonts w:hint="eastAsia" w:ascii="宋体" w:hAnsi="宋体" w:cs="宋体"/>
                <w:kern w:val="0"/>
                <w:szCs w:val="21"/>
              </w:rPr>
              <w:t>各项参数指标及要求全部满足的得满分12分，未响应的参数按负偏离扣分。带▲的重要参数每负偏离一项扣4分，其他一般参数每负偏离一项扣2分，扣完为止，最低得0分。正偏离不加分。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7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szCs w:val="21"/>
              </w:rPr>
              <w:t>售后服务</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widowControl/>
              <w:spacing w:line="360" w:lineRule="auto"/>
              <w:textAlignment w:val="center"/>
            </w:pPr>
            <w:r>
              <w:rPr>
                <w:rFonts w:hint="eastAsia"/>
              </w:rPr>
              <w:t>（1）承诺90分钟内响应并到达现场进行售后服务的得2分；</w:t>
            </w:r>
          </w:p>
          <w:p>
            <w:pPr>
              <w:widowControl/>
              <w:spacing w:line="360" w:lineRule="auto"/>
              <w:textAlignment w:val="center"/>
            </w:pPr>
            <w:r>
              <w:rPr>
                <w:rFonts w:hint="eastAsia"/>
              </w:rPr>
              <w:t>（2）</w:t>
            </w: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4</w:t>
            </w:r>
            <w:r>
              <w:rPr>
                <w:rFonts w:ascii="宋体" w:hAnsi="宋体" w:cs="宋体"/>
                <w:bCs/>
                <w:kern w:val="0"/>
                <w:szCs w:val="21"/>
              </w:rPr>
              <w:t>分</w:t>
            </w:r>
            <w:r>
              <w:rPr>
                <w:rFonts w:hint="eastAsia" w:ascii="宋体" w:hAnsi="宋体" w:cs="宋体"/>
                <w:bCs/>
                <w:kern w:val="0"/>
                <w:szCs w:val="21"/>
              </w:rPr>
              <w:t>；</w:t>
            </w:r>
            <w:r>
              <w:rPr>
                <w:rFonts w:hint="eastAsia"/>
              </w:rPr>
              <w:t>。</w:t>
            </w:r>
          </w:p>
          <w:p>
            <w:pPr>
              <w:pStyle w:val="18"/>
              <w:spacing w:line="360" w:lineRule="auto"/>
              <w:rPr>
                <w:rFonts w:ascii="宋体" w:hAnsi="宋体" w:cs="宋体"/>
                <w:bCs/>
                <w:kern w:val="0"/>
                <w:szCs w:val="21"/>
              </w:rPr>
            </w:pP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的，得2分，其他情况不得分。</w:t>
            </w:r>
          </w:p>
          <w:p>
            <w:pPr>
              <w:pStyle w:val="18"/>
              <w:numPr>
                <w:ilvl w:val="0"/>
                <w:numId w:val="4"/>
              </w:numPr>
              <w:spacing w:line="360" w:lineRule="auto"/>
              <w:rPr>
                <w:rFonts w:ascii="宋体" w:hAnsi="宋体" w:cs="宋体"/>
                <w:bCs/>
                <w:kern w:val="0"/>
                <w:szCs w:val="21"/>
              </w:rPr>
            </w:pPr>
            <w:r>
              <w:rPr>
                <w:rFonts w:hint="eastAsia" w:ascii="宋体" w:hAnsi="宋体" w:cs="宋体"/>
                <w:bCs/>
                <w:kern w:val="0"/>
                <w:szCs w:val="21"/>
              </w:rPr>
              <w:t>本项最高可得6分。</w:t>
            </w:r>
          </w:p>
          <w:p>
            <w:pPr>
              <w:autoSpaceDE w:val="0"/>
              <w:autoSpaceDN w:val="0"/>
              <w:adjustRightInd w:val="0"/>
              <w:spacing w:line="360" w:lineRule="auto"/>
              <w:jc w:val="left"/>
              <w:rPr>
                <w:rFonts w:ascii="宋体" w:hAnsi="宋体" w:cs="宋体"/>
                <w:bCs/>
                <w:kern w:val="0"/>
                <w:szCs w:val="21"/>
              </w:rPr>
            </w:pPr>
            <w:r>
              <w:rPr>
                <w:rFonts w:hint="eastAsia" w:ascii="宋体" w:hAnsi="宋体"/>
                <w:kern w:val="0"/>
                <w:szCs w:val="21"/>
              </w:rPr>
              <w:t>（二）评分标准：</w:t>
            </w:r>
          </w:p>
          <w:p>
            <w:pPr>
              <w:tabs>
                <w:tab w:val="left" w:pos="175"/>
              </w:tabs>
              <w:spacing w:line="360" w:lineRule="auto"/>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auto"/>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auto"/>
              <w:ind w:left="33"/>
              <w:jc w:val="left"/>
              <w:rPr>
                <w:rFonts w:ascii="宋体" w:hAnsi="宋体" w:cs="宋体" w:eastAsiaTheme="minorEastAsia"/>
                <w:kern w:val="0"/>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3</w:t>
            </w:r>
          </w:p>
        </w:tc>
        <w:tc>
          <w:tcPr>
            <w:tcW w:w="1143" w:type="dxa"/>
            <w:vAlign w:val="center"/>
          </w:tcPr>
          <w:p>
            <w:pPr>
              <w:widowControl/>
              <w:spacing w:line="360" w:lineRule="exact"/>
              <w:jc w:val="center"/>
              <w:rPr>
                <w:rFonts w:ascii="宋体" w:hAnsi="宋体"/>
                <w:szCs w:val="21"/>
              </w:rPr>
            </w:pPr>
            <w:r>
              <w:rPr>
                <w:rFonts w:hint="eastAsia" w:ascii="宋体" w:hAnsi="宋体"/>
                <w:szCs w:val="21"/>
              </w:rPr>
              <w:t>企业自主知识产权情况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12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widowControl/>
              <w:spacing w:line="360" w:lineRule="auto"/>
              <w:rPr>
                <w:rFonts w:ascii="宋体" w:hAnsi="宋体" w:cs="仿宋"/>
                <w:szCs w:val="21"/>
              </w:rPr>
            </w:pPr>
            <w:r>
              <w:rPr>
                <w:rFonts w:hint="eastAsia" w:ascii="宋体" w:hAnsi="宋体" w:cs="仿宋"/>
                <w:szCs w:val="21"/>
              </w:rPr>
              <w:t>投标人具有垃圾、餐厨垃圾、固液分离机相关的专利证书（发明、实用新型），每提供一个得2.4分，最高得分12分。</w:t>
            </w:r>
          </w:p>
          <w:p>
            <w:pPr>
              <w:autoSpaceDE w:val="0"/>
              <w:autoSpaceDN w:val="0"/>
              <w:adjustRightInd w:val="0"/>
              <w:spacing w:line="360" w:lineRule="auto"/>
              <w:jc w:val="left"/>
              <w:rPr>
                <w:rFonts w:ascii="宋体" w:hAnsi="宋体" w:cs="仿宋"/>
                <w:szCs w:val="21"/>
              </w:rPr>
            </w:pPr>
            <w:r>
              <w:rPr>
                <w:rFonts w:hint="eastAsia" w:ascii="宋体" w:hAnsi="宋体"/>
                <w:kern w:val="0"/>
                <w:szCs w:val="21"/>
              </w:rPr>
              <w:t>（二）评分标准：</w:t>
            </w:r>
          </w:p>
          <w:p>
            <w:pPr>
              <w:widowControl/>
              <w:spacing w:line="360" w:lineRule="auto"/>
              <w:rPr>
                <w:rFonts w:ascii="宋体" w:hAnsi="宋体" w:cs="宋体"/>
                <w:kern w:val="0"/>
                <w:szCs w:val="21"/>
              </w:rPr>
            </w:pPr>
            <w:r>
              <w:rPr>
                <w:rFonts w:hint="eastAsia" w:ascii="宋体" w:hAnsi="宋体" w:cs="仿宋"/>
                <w:szCs w:val="21"/>
              </w:rPr>
              <w:t>提供有效证明文件复印件或扫描件并加盖投标人公章，原件备查。未按要求提供有效证明材料或提供不清晰导致评委无法识别的不计得分。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widowControl/>
              <w:spacing w:line="360" w:lineRule="auto"/>
              <w:rPr>
                <w:rFonts w:ascii="宋体" w:hAnsi="宋体" w:cs="仿宋"/>
                <w:szCs w:val="21"/>
              </w:rPr>
            </w:pPr>
            <w:r>
              <w:rPr>
                <w:rFonts w:hint="eastAsia" w:ascii="宋体" w:hAnsi="宋体" w:cs="宋体"/>
                <w:szCs w:val="21"/>
              </w:rPr>
              <w:t>201</w:t>
            </w:r>
            <w:r>
              <w:rPr>
                <w:rFonts w:ascii="宋体" w:hAnsi="宋体" w:cs="宋体"/>
                <w:szCs w:val="21"/>
              </w:rPr>
              <w:t>9</w:t>
            </w:r>
            <w:r>
              <w:rPr>
                <w:rFonts w:hint="eastAsia" w:ascii="宋体" w:hAnsi="宋体" w:cs="宋体"/>
                <w:szCs w:val="21"/>
              </w:rPr>
              <w:t>年1月1日至本项目投标截止日（以合同签订日期为准），投标人</w:t>
            </w:r>
            <w:r>
              <w:rPr>
                <w:rFonts w:hint="eastAsia" w:ascii="宋体" w:hAnsi="宋体" w:cs="仿宋"/>
                <w:szCs w:val="21"/>
              </w:rPr>
              <w:t>具有同类项目业绩的，每提供1个项目得</w:t>
            </w:r>
            <w:r>
              <w:rPr>
                <w:rFonts w:ascii="宋体" w:hAnsi="宋体" w:cs="仿宋"/>
                <w:szCs w:val="21"/>
              </w:rPr>
              <w:t>1</w:t>
            </w:r>
            <w:r>
              <w:rPr>
                <w:rFonts w:hint="eastAsia" w:ascii="宋体" w:hAnsi="宋体" w:cs="仿宋"/>
                <w:szCs w:val="21"/>
              </w:rPr>
              <w:t>分，最高得</w:t>
            </w:r>
            <w:r>
              <w:rPr>
                <w:rFonts w:ascii="宋体" w:hAnsi="宋体" w:cs="仿宋"/>
                <w:szCs w:val="21"/>
              </w:rPr>
              <w:t>5</w:t>
            </w:r>
            <w:r>
              <w:rPr>
                <w:rFonts w:hint="eastAsia" w:ascii="宋体" w:hAnsi="宋体" w:cs="仿宋"/>
                <w:szCs w:val="21"/>
              </w:rPr>
              <w:t>分。</w:t>
            </w:r>
          </w:p>
          <w:p>
            <w:pPr>
              <w:autoSpaceDE w:val="0"/>
              <w:autoSpaceDN w:val="0"/>
              <w:adjustRightInd w:val="0"/>
              <w:spacing w:line="360" w:lineRule="auto"/>
              <w:jc w:val="left"/>
              <w:rPr>
                <w:rFonts w:ascii="宋体" w:hAnsi="宋体" w:cs="仿宋"/>
                <w:szCs w:val="21"/>
              </w:rPr>
            </w:pPr>
            <w:r>
              <w:rPr>
                <w:rFonts w:hint="eastAsia" w:ascii="宋体" w:hAnsi="宋体"/>
                <w:kern w:val="0"/>
                <w:szCs w:val="21"/>
              </w:rPr>
              <w:t>（二）评分标准：</w:t>
            </w:r>
          </w:p>
          <w:p>
            <w:pPr>
              <w:adjustRightInd w:val="0"/>
              <w:snapToGrid w:val="0"/>
              <w:spacing w:line="360" w:lineRule="auto"/>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auto"/>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auto"/>
              <w:jc w:val="left"/>
              <w:rPr>
                <w:rFonts w:ascii="宋体" w:hAnsi="宋体" w:cs="仿宋"/>
                <w:szCs w:val="21"/>
              </w:rPr>
            </w:pPr>
            <w:r>
              <w:rPr>
                <w:rFonts w:hint="eastAsia" w:ascii="宋体" w:hAnsi="宋体"/>
                <w:kern w:val="0"/>
                <w:szCs w:val="21"/>
              </w:rPr>
              <w:t>（二）评分标准：</w:t>
            </w:r>
          </w:p>
          <w:p>
            <w:pPr>
              <w:tabs>
                <w:tab w:val="left" w:pos="175"/>
              </w:tabs>
              <w:spacing w:line="360" w:lineRule="exact"/>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0" w:name="_Toc73610144"/>
      <w:bookmarkStart w:id="11" w:name="_Toc44691394"/>
      <w:bookmarkStart w:id="12" w:name="_Toc44690703"/>
      <w:bookmarkStart w:id="13" w:name="_Toc44690430"/>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儿童医院垃圾站—垃圾减量设施采购项目（重新招标）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深圳市儿童医院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1</w:t>
            </w:r>
            <w:r>
              <w:rPr>
                <w:rFonts w:hint="eastAsia" w:hAnsi="宋体"/>
                <w:b/>
                <w:snapToGrid w:val="0"/>
                <w:szCs w:val="18"/>
              </w:rPr>
              <w:t>月</w:t>
            </w:r>
            <w:r>
              <w:rPr>
                <w:rFonts w:hint="eastAsia" w:hAnsi="宋体"/>
                <w:b/>
                <w:snapToGrid w:val="0"/>
                <w:szCs w:val="18"/>
                <w:lang w:val="en-US" w:eastAsia="zh-CN"/>
              </w:rPr>
              <w:t>10</w:t>
            </w:r>
            <w:r>
              <w:rPr>
                <w:rFonts w:hint="eastAsia" w:hAnsi="宋体"/>
                <w:b/>
                <w:snapToGrid w:val="0"/>
                <w:szCs w:val="18"/>
              </w:rPr>
              <w:t>日14点30分</w:t>
            </w:r>
            <w:bookmarkStart w:id="87" w:name="_GoBack"/>
            <w:bookmarkEnd w:id="87"/>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1</w:t>
            </w:r>
            <w:r>
              <w:rPr>
                <w:rFonts w:hint="eastAsia" w:hAnsi="宋体"/>
                <w:b/>
                <w:snapToGrid w:val="0"/>
                <w:szCs w:val="18"/>
              </w:rPr>
              <w:t>月</w:t>
            </w:r>
            <w:r>
              <w:rPr>
                <w:rFonts w:hint="eastAsia" w:hAnsi="宋体"/>
                <w:b/>
                <w:snapToGrid w:val="0"/>
                <w:szCs w:val="18"/>
                <w:lang w:val="en-US" w:eastAsia="zh-CN"/>
              </w:rPr>
              <w:t>10</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18" w:name="_Toc73610148"/>
      <w:r>
        <w:rPr>
          <w:rFonts w:hint="eastAsia"/>
        </w:rPr>
        <w:t>第六章  投标人须知</w:t>
      </w:r>
      <w:bookmarkEnd w:id="18"/>
    </w:p>
    <w:p>
      <w:pPr>
        <w:pStyle w:val="4"/>
        <w:spacing w:before="0" w:after="0"/>
      </w:pPr>
      <w:bookmarkStart w:id="19" w:name="_Toc7361014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2067"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2066"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2065"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2064"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2063"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2062"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2061"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2060"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2059"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2058"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2057"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2056"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2055"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2054"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2053"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1" w:name="_Toc73610155"/>
      <w:r>
        <w:rPr>
          <w:rFonts w:hint="eastAsia"/>
        </w:rPr>
        <w:t>第七章  投标文件格式</w:t>
      </w:r>
      <w:bookmarkEnd w:id="31"/>
    </w:p>
    <w:p>
      <w:pPr>
        <w:jc w:val="center"/>
        <w:rPr>
          <w:b/>
          <w:sz w:val="52"/>
          <w:szCs w:val="52"/>
        </w:rPr>
      </w:pPr>
    </w:p>
    <w:p>
      <w:pPr>
        <w:pStyle w:val="4"/>
        <w:spacing w:line="400" w:lineRule="exact"/>
        <w:rPr>
          <w:rFonts w:ascii="仿宋" w:hAnsi="仿宋" w:eastAsia="仿宋"/>
        </w:rPr>
      </w:pPr>
      <w:bookmarkStart w:id="32" w:name="_Toc25194"/>
      <w:bookmarkStart w:id="33" w:name="_Toc44690431"/>
      <w:bookmarkStart w:id="34" w:name="_Toc14934"/>
      <w:bookmarkStart w:id="35" w:name="_Toc44691395"/>
      <w:bookmarkStart w:id="36" w:name="_Toc44691163"/>
      <w:bookmarkStart w:id="37" w:name="_Toc31468"/>
      <w:bookmarkStart w:id="38" w:name="_Toc11772"/>
      <w:bookmarkStart w:id="39" w:name="_Toc44690704"/>
      <w:bookmarkStart w:id="40" w:name="_Toc73610156"/>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投标文件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项目名称：</w:t>
      </w:r>
    </w:p>
    <w:p>
      <w:pPr>
        <w:spacing w:line="480" w:lineRule="auto"/>
        <w:ind w:firstLine="1275" w:firstLineChars="529"/>
        <w:rPr>
          <w:b/>
          <w:bCs/>
          <w:sz w:val="24"/>
          <w:u w:val="single"/>
        </w:rPr>
      </w:pPr>
      <w:r>
        <w:rPr>
          <w:rFonts w:hint="eastAsia"/>
          <w:b/>
          <w:bCs/>
          <w:sz w:val="24"/>
        </w:rPr>
        <w:t>项目编号：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委托代理人：</w:t>
      </w:r>
    </w:p>
    <w:p>
      <w:pPr>
        <w:spacing w:line="480" w:lineRule="auto"/>
        <w:ind w:firstLine="1275" w:firstLineChars="529"/>
        <w:rPr>
          <w:b/>
          <w:bCs/>
          <w:sz w:val="24"/>
          <w:u w:val="dotted"/>
        </w:rPr>
      </w:pPr>
      <w:r>
        <w:rPr>
          <w:rFonts w:hint="eastAsia"/>
          <w:b/>
          <w:bCs/>
          <w:sz w:val="24"/>
        </w:rPr>
        <w:t>投标人：</w:t>
      </w:r>
    </w:p>
    <w:p>
      <w:pPr>
        <w:spacing w:line="480" w:lineRule="auto"/>
        <w:ind w:firstLine="1275" w:firstLineChars="529"/>
      </w:pPr>
      <w:r>
        <w:rPr>
          <w:rFonts w:hint="eastAsia"/>
          <w:b/>
          <w:bCs/>
          <w:sz w:val="24"/>
        </w:rPr>
        <w:t>日期：年月日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4"/>
        <w:spacing w:line="400" w:lineRule="exact"/>
        <w:rPr>
          <w:rFonts w:ascii="仿宋" w:hAnsi="仿宋" w:eastAsia="仿宋"/>
        </w:rPr>
      </w:pPr>
      <w:bookmarkStart w:id="45" w:name="_Toc73610158"/>
      <w:r>
        <w:rPr>
          <w:rFonts w:hint="eastAsia" w:ascii="仿宋" w:hAnsi="仿宋" w:eastAsia="仿宋"/>
        </w:rPr>
        <w:t>评标指引表</w:t>
      </w:r>
      <w:bookmarkEnd w:id="4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164"/>
      <w:bookmarkStart w:id="47" w:name="_Toc44690705"/>
      <w:bookmarkStart w:id="48" w:name="_Toc44690432"/>
      <w:bookmarkStart w:id="49" w:name="_Toc44691396"/>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年月日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0" w:name="_Toc73610159"/>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2072"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法定代表人</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2071"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法定代表人</w:t>
                  </w:r>
                </w:p>
                <w:p>
                  <w:pPr>
                    <w:ind w:firstLine="1050" w:firstLineChars="500"/>
                    <w:jc w:val="left"/>
                  </w:pPr>
                  <w:r>
                    <w:rPr>
                      <w:rFonts w:hint="eastAsia"/>
                    </w:rPr>
                    <w:t>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1" w:name="_Toc226217114"/>
      <w:r>
        <w:rPr>
          <w:rFonts w:ascii="宋体"/>
        </w:rPr>
        <w:pict>
          <v:rect id="Rectangle 2" o:spid="_x0000_s2069"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2070"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单位：（盖章）</w:t>
      </w:r>
    </w:p>
    <w:p>
      <w:pPr>
        <w:adjustRightInd w:val="0"/>
        <w:snapToGrid w:val="0"/>
        <w:spacing w:line="360" w:lineRule="auto"/>
        <w:ind w:firstLine="426"/>
      </w:pPr>
      <w:r>
        <w:rPr>
          <w:rFonts w:hint="eastAsia"/>
        </w:rPr>
        <w:t>授权代表：（签字）</w:t>
      </w:r>
    </w:p>
    <w:p>
      <w:pPr>
        <w:adjustRightInd w:val="0"/>
        <w:snapToGrid w:val="0"/>
        <w:spacing w:line="360" w:lineRule="auto"/>
        <w:ind w:firstLine="426"/>
      </w:pPr>
      <w:r>
        <w:t>地址：</w:t>
      </w:r>
    </w:p>
    <w:p>
      <w:pPr>
        <w:adjustRightInd w:val="0"/>
        <w:snapToGrid w:val="0"/>
        <w:spacing w:line="360" w:lineRule="auto"/>
        <w:ind w:firstLine="426"/>
      </w:pPr>
      <w:r>
        <w:t>电话：</w:t>
      </w:r>
    </w:p>
    <w:p>
      <w:pPr>
        <w:adjustRightInd w:val="0"/>
        <w:snapToGrid w:val="0"/>
        <w:spacing w:line="360" w:lineRule="auto"/>
        <w:ind w:firstLine="426"/>
      </w:pPr>
      <w:r>
        <w:t>传真：</w:t>
      </w:r>
    </w:p>
    <w:p>
      <w:pPr>
        <w:adjustRightInd w:val="0"/>
        <w:snapToGrid w:val="0"/>
        <w:spacing w:line="360" w:lineRule="auto"/>
        <w:ind w:firstLine="426"/>
      </w:pPr>
      <w:r>
        <w:t>邮编：</w:t>
      </w:r>
    </w:p>
    <w:p>
      <w:pPr>
        <w:adjustRightInd w:val="0"/>
        <w:snapToGrid w:val="0"/>
        <w:spacing w:line="360" w:lineRule="auto"/>
        <w:ind w:firstLine="426"/>
      </w:pPr>
      <w:r>
        <w:t>联系人：</w:t>
      </w:r>
    </w:p>
    <w:p>
      <w:pPr>
        <w:adjustRightInd w:val="0"/>
        <w:snapToGrid w:val="0"/>
        <w:spacing w:line="360" w:lineRule="auto"/>
        <w:ind w:firstLine="600"/>
      </w:pPr>
    </w:p>
    <w:p>
      <w:pPr>
        <w:adjustRightInd w:val="0"/>
        <w:snapToGrid w:val="0"/>
        <w:spacing w:line="360" w:lineRule="auto"/>
        <w:ind w:firstLine="600"/>
        <w:jc w:val="right"/>
      </w:pPr>
      <w:r>
        <w:rPr>
          <w:rFonts w:hint="eastAsia"/>
        </w:rPr>
        <w:t>年月日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年月日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1397"/>
      <w:bookmarkStart w:id="53" w:name="_Toc44690706"/>
      <w:bookmarkStart w:id="54" w:name="_Toc44690433"/>
      <w:bookmarkStart w:id="55" w:name="_Toc44691165"/>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儿童医院垃圾站—垃圾减量设施采购项目（重新招标）</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年月日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398"/>
      <w:bookmarkStart w:id="57" w:name="_Toc44690707"/>
      <w:bookmarkStart w:id="58" w:name="_Toc44690434"/>
      <w:bookmarkStart w:id="59" w:name="_Toc44691166"/>
      <w:r>
        <w:rPr>
          <w:rFonts w:hint="eastAsia" w:asciiTheme="minorEastAsia" w:hAnsiTheme="minorEastAsia" w:eastAsiaTheme="minorEastAsia"/>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年月日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708"/>
      <w:bookmarkStart w:id="61" w:name="_Toc44691399"/>
      <w:bookmarkStart w:id="62" w:name="_Toc44690435"/>
      <w:bookmarkStart w:id="63" w:name="_Toc44691167"/>
      <w:r>
        <w:rPr>
          <w:rFonts w:hint="eastAsia" w:asciiTheme="minorEastAsia" w:hAnsiTheme="minorEastAsia" w:eastAsiaTheme="minorEastAsia"/>
          <w:sz w:val="24"/>
        </w:rPr>
        <w:t>格式7  技术规格</w:t>
      </w:r>
      <w:bookmarkEnd w:id="60"/>
      <w:bookmarkEnd w:id="61"/>
      <w:bookmarkEnd w:id="62"/>
      <w:bookmarkEnd w:id="63"/>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年月日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年月日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4" w:name="_Toc44690709"/>
      <w:bookmarkStart w:id="65" w:name="_Toc44691400"/>
      <w:bookmarkStart w:id="66" w:name="_Toc44690436"/>
      <w:bookmarkStart w:id="67" w:name="_Toc44691168"/>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q17"/>
      <w:bookmarkEnd w:id="68"/>
      <w:bookmarkStart w:id="69" w:name="_格式3__"/>
      <w:bookmarkEnd w:id="69"/>
      <w:bookmarkStart w:id="70" w:name="q15"/>
      <w:bookmarkEnd w:id="70"/>
      <w:bookmarkStart w:id="71" w:name="_格式4__"/>
      <w:bookmarkEnd w:id="71"/>
      <w:bookmarkStart w:id="72" w:name="_格式2__投标保证金凭证"/>
      <w:bookmarkEnd w:id="72"/>
      <w:bookmarkStart w:id="73" w:name="q16"/>
      <w:bookmarkEnd w:id="73"/>
      <w:bookmarkStart w:id="74" w:name="_格式5__"/>
      <w:bookmarkEnd w:id="74"/>
      <w:r>
        <w:rPr>
          <w:rFonts w:asciiTheme="minorEastAsia" w:hAnsiTheme="minorEastAsia" w:eastAsiaTheme="minorEastAsia"/>
          <w:sz w:val="24"/>
        </w:rPr>
        <w:tab/>
      </w:r>
      <w:bookmarkStart w:id="75" w:name="_Toc44690437"/>
      <w:bookmarkStart w:id="76" w:name="_Toc44690710"/>
      <w:bookmarkStart w:id="77" w:name="_Toc44691169"/>
      <w:bookmarkStart w:id="78" w:name="_Toc44691401"/>
      <w:r>
        <w:rPr>
          <w:rFonts w:hint="eastAsia" w:asciiTheme="minorEastAsia" w:hAnsiTheme="minorEastAsia" w:eastAsiaTheme="minorEastAsia"/>
          <w:sz w:val="24"/>
        </w:rPr>
        <w:t>格式10  投标人资格声明</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79" w:name="_格式7__投标人资格声明"/>
      <w:bookmarkEnd w:id="79"/>
      <w:bookmarkStart w:id="80"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年月日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1" w:name="_Toc73610160"/>
      <w:r>
        <w:rPr>
          <w:rFonts w:hint="eastAsia"/>
        </w:rPr>
        <w:t>第八章合同条款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2" w:name="_Toc73610161"/>
      <w:r>
        <w:rPr>
          <w:rFonts w:hint="eastAsia"/>
        </w:rPr>
        <w:t>第九章附件</w:t>
      </w:r>
      <w:bookmarkEnd w:id="82"/>
    </w:p>
    <w:p>
      <w:pPr>
        <w:pStyle w:val="3"/>
        <w:spacing w:before="0" w:after="0"/>
        <w:jc w:val="center"/>
      </w:pPr>
      <w:bookmarkStart w:id="83" w:name="_Toc73610162"/>
      <w:r>
        <w:rPr>
          <w:rFonts w:hint="eastAsia"/>
        </w:rPr>
        <w:t>一、财政部工业和信息化部关于印发《政府采购促进中小企业发展管理办法》的通知</w:t>
      </w:r>
      <w:bookmarkEnd w:id="83"/>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4" w:name="_Toc73610163"/>
      <w:r>
        <w:rPr>
          <w:rFonts w:hint="eastAsia"/>
        </w:rPr>
        <w:t>二、关于印发中小企业划型标准规定的通知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6" w:name="_Toc73610165"/>
      <w:r>
        <w:rPr>
          <w:rFonts w:hint="eastAsia"/>
        </w:rPr>
        <w:t>四、</w:t>
      </w:r>
      <w:r>
        <w:t>财政部民政部中国残疾人联合会关于促进残疾人就业政府采购政策的通知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TimesNewRoman">
    <w:altName w:val="宋体"/>
    <w:panose1 w:val="00000000000000000000"/>
    <w:charset w:val="7A"/>
    <w:family w:val="auto"/>
    <w:pitch w:val="default"/>
    <w:sig w:usb0="00000000" w:usb1="00000000" w:usb2="00000010"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8</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儿童医院垃圾站—垃圾减量设施采购项目（重新招标）</w:t>
    </w:r>
    <w:r>
      <w:rPr>
        <w:rFonts w:hint="eastAsia" w:asciiTheme="minorEastAsia" w:hAnsiTheme="minorEastAsia" w:eastAsiaTheme="minorEastAsia"/>
      </w:rPr>
      <w:t xml:space="preserve">                          项目编号：SZZZ2021-QA0353</w:t>
    </w:r>
  </w:p>
  <w:p>
    <w:pPr>
      <w:pStyle w:val="32"/>
      <w:tabs>
        <w:tab w:val="center" w:pos="4819"/>
        <w:tab w:val="right" w:pos="9638"/>
      </w:tabs>
      <w:jc w:val="left"/>
      <w:rPr>
        <w:u w:val="single"/>
      </w:rPr>
    </w:pPr>
    <w:r>
      <w:rPr>
        <w:u w:val="single"/>
      </w:rPr>
      <w:tab/>
    </w:r>
    <w:r>
      <w:rPr>
        <w:u w:val="single"/>
      </w:rPr>
      <w:tab/>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4">
    <w:nsid w:val="684F9C44"/>
    <w:multiLevelType w:val="singleLevel"/>
    <w:tmpl w:val="684F9C44"/>
    <w:lvl w:ilvl="0" w:tentative="0">
      <w:start w:val="3"/>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5D5"/>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491"/>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6F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4649"/>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119"/>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37"/>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602"/>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3E5"/>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17B3"/>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3949"/>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2DB5"/>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301"/>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4E41"/>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A29"/>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945"/>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ABC"/>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2E"/>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6F4"/>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397"/>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E06"/>
    <w:rsid w:val="00B65CB5"/>
    <w:rsid w:val="00B65D4A"/>
    <w:rsid w:val="00B668FC"/>
    <w:rsid w:val="00B66B65"/>
    <w:rsid w:val="00B70F06"/>
    <w:rsid w:val="00B70FEF"/>
    <w:rsid w:val="00B7145B"/>
    <w:rsid w:val="00B71881"/>
    <w:rsid w:val="00B718FB"/>
    <w:rsid w:val="00B721B5"/>
    <w:rsid w:val="00B728FD"/>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5B31"/>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93B"/>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1F89"/>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5929"/>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452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08A7"/>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4C5671"/>
    <w:rsid w:val="05C87DB9"/>
    <w:rsid w:val="0961739E"/>
    <w:rsid w:val="098E6083"/>
    <w:rsid w:val="0B205B2B"/>
    <w:rsid w:val="0B782559"/>
    <w:rsid w:val="0D566BC9"/>
    <w:rsid w:val="0E180322"/>
    <w:rsid w:val="0E8C4995"/>
    <w:rsid w:val="0EA31D7A"/>
    <w:rsid w:val="0EF27BFB"/>
    <w:rsid w:val="0FBC50EF"/>
    <w:rsid w:val="0FFC6B2C"/>
    <w:rsid w:val="115F3FD7"/>
    <w:rsid w:val="11A259DD"/>
    <w:rsid w:val="120474A0"/>
    <w:rsid w:val="13102ABE"/>
    <w:rsid w:val="167D280D"/>
    <w:rsid w:val="17047766"/>
    <w:rsid w:val="17935895"/>
    <w:rsid w:val="17F52C18"/>
    <w:rsid w:val="184530EF"/>
    <w:rsid w:val="19227A4B"/>
    <w:rsid w:val="1A65467E"/>
    <w:rsid w:val="1B3E182A"/>
    <w:rsid w:val="1B4B5195"/>
    <w:rsid w:val="1C0301DF"/>
    <w:rsid w:val="1C174C6F"/>
    <w:rsid w:val="1C7C020D"/>
    <w:rsid w:val="1C8F78BA"/>
    <w:rsid w:val="1C9B0D84"/>
    <w:rsid w:val="1CDD3F3B"/>
    <w:rsid w:val="1D4D6869"/>
    <w:rsid w:val="21434FEB"/>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CBD6BC2"/>
    <w:rsid w:val="2D6C141D"/>
    <w:rsid w:val="2EB64B4B"/>
    <w:rsid w:val="2EDB590A"/>
    <w:rsid w:val="2F0A29E3"/>
    <w:rsid w:val="30817D6A"/>
    <w:rsid w:val="30A10A3D"/>
    <w:rsid w:val="3157114E"/>
    <w:rsid w:val="31F2037F"/>
    <w:rsid w:val="329B11F6"/>
    <w:rsid w:val="336E087E"/>
    <w:rsid w:val="33C3087D"/>
    <w:rsid w:val="34667C83"/>
    <w:rsid w:val="357151FE"/>
    <w:rsid w:val="35961B12"/>
    <w:rsid w:val="364523AD"/>
    <w:rsid w:val="36700D38"/>
    <w:rsid w:val="36C4673D"/>
    <w:rsid w:val="37B10B63"/>
    <w:rsid w:val="37D17C49"/>
    <w:rsid w:val="38833910"/>
    <w:rsid w:val="389032EE"/>
    <w:rsid w:val="390721D7"/>
    <w:rsid w:val="393B510C"/>
    <w:rsid w:val="393F4767"/>
    <w:rsid w:val="39A97E97"/>
    <w:rsid w:val="3A260C29"/>
    <w:rsid w:val="3B57268D"/>
    <w:rsid w:val="3B6176CE"/>
    <w:rsid w:val="3BF9504C"/>
    <w:rsid w:val="3CD85543"/>
    <w:rsid w:val="3CF11603"/>
    <w:rsid w:val="3D7507FB"/>
    <w:rsid w:val="3EB5127A"/>
    <w:rsid w:val="3F503E5E"/>
    <w:rsid w:val="3FC16214"/>
    <w:rsid w:val="40D31B69"/>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B880F1F"/>
    <w:rsid w:val="4F0F6A19"/>
    <w:rsid w:val="50E826FE"/>
    <w:rsid w:val="51D10A66"/>
    <w:rsid w:val="528A390F"/>
    <w:rsid w:val="528C6991"/>
    <w:rsid w:val="54054633"/>
    <w:rsid w:val="540605E4"/>
    <w:rsid w:val="547F0032"/>
    <w:rsid w:val="54A02A20"/>
    <w:rsid w:val="55C87B3E"/>
    <w:rsid w:val="56A7547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7F3E5C"/>
    <w:rsid w:val="65CA685B"/>
    <w:rsid w:val="65CF34A7"/>
    <w:rsid w:val="65F660EF"/>
    <w:rsid w:val="6673798C"/>
    <w:rsid w:val="673905B6"/>
    <w:rsid w:val="681C3942"/>
    <w:rsid w:val="68460AAC"/>
    <w:rsid w:val="68AC1CFE"/>
    <w:rsid w:val="68FA40F3"/>
    <w:rsid w:val="6BCD1DE6"/>
    <w:rsid w:val="6C505023"/>
    <w:rsid w:val="6D14299F"/>
    <w:rsid w:val="6D672A1E"/>
    <w:rsid w:val="6DC237D1"/>
    <w:rsid w:val="6F40725E"/>
    <w:rsid w:val="711172CF"/>
    <w:rsid w:val="71FD54DD"/>
    <w:rsid w:val="72345C8F"/>
    <w:rsid w:val="7410294D"/>
    <w:rsid w:val="749541B7"/>
    <w:rsid w:val="76D71644"/>
    <w:rsid w:val="776C2FB6"/>
    <w:rsid w:val="79982284"/>
    <w:rsid w:val="7998662D"/>
    <w:rsid w:val="7A8C5878"/>
    <w:rsid w:val="7AEC1A36"/>
    <w:rsid w:val="7B471854"/>
    <w:rsid w:val="7C552333"/>
    <w:rsid w:val="7CA86C55"/>
    <w:rsid w:val="7CF019C1"/>
    <w:rsid w:val="7D461CAD"/>
    <w:rsid w:val="7E28286A"/>
    <w:rsid w:val="7E4515FE"/>
    <w:rsid w:val="7EAD59B2"/>
    <w:rsid w:val="7F721AE5"/>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uiPriority w:val="0"/>
  </w:style>
  <w:style w:type="character" w:customStyle="1" w:styleId="470">
    <w:name w:val="apple-style-span"/>
    <w:basedOn w:val="52"/>
    <w:qFormat/>
    <w:uiPriority w:val="0"/>
  </w:style>
  <w:style w:type="paragraph" w:customStyle="1" w:styleId="471">
    <w:name w:val="缺省文本"/>
    <w:basedOn w:val="1"/>
    <w:uiPriority w:val="0"/>
    <w:pPr>
      <w:autoSpaceDE w:val="0"/>
      <w:autoSpaceDN w:val="0"/>
      <w:adjustRightInd w:val="0"/>
      <w:jc w:val="left"/>
    </w:pPr>
    <w:rPr>
      <w:kern w:val="0"/>
      <w:sz w:val="24"/>
    </w:rPr>
  </w:style>
  <w:style w:type="paragraph" w:customStyle="1" w:styleId="472">
    <w:name w:val="xl6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uiPriority w:val="0"/>
    <w:pPr>
      <w:widowControl/>
      <w:spacing w:after="160" w:line="240" w:lineRule="exact"/>
      <w:jc w:val="left"/>
    </w:pPr>
  </w:style>
  <w:style w:type="paragraph" w:customStyle="1" w:styleId="476">
    <w:name w:val="USE 1"/>
    <w:basedOn w:val="1"/>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uiPriority w:val="0"/>
    <w:rPr>
      <w:kern w:val="2"/>
      <w:sz w:val="18"/>
      <w:szCs w:val="18"/>
    </w:rPr>
  </w:style>
  <w:style w:type="paragraph" w:customStyle="1" w:styleId="482">
    <w:name w:val="_Style 56"/>
    <w:basedOn w:val="1"/>
    <w:next w:val="26"/>
    <w:uiPriority w:val="0"/>
    <w:rPr>
      <w:rFonts w:ascii="宋体" w:hAnsi="Courier New"/>
      <w:szCs w:val="20"/>
    </w:rPr>
  </w:style>
  <w:style w:type="paragraph" w:customStyle="1" w:styleId="483">
    <w:name w:val="Char Char Char Char2"/>
    <w:basedOn w:val="1"/>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uiPriority w:val="99"/>
    <w:rPr>
      <w:rFonts w:ascii="Times New Roman" w:hAnsi="Times New Roman" w:eastAsia="宋体" w:cs="Times New Roman"/>
      <w:kern w:val="2"/>
      <w:sz w:val="21"/>
      <w:szCs w:val="24"/>
      <w:lang w:val="en-US" w:eastAsia="zh-CN" w:bidi="ar-SA"/>
    </w:rPr>
  </w:style>
  <w:style w:type="paragraph" w:customStyle="1" w:styleId="492">
    <w:name w:val="xl5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72"/>
    <customShpInfo spid="_x0000_s2071"/>
    <customShpInfo spid="_x0000_s2069"/>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DAEE7-B4F2-42D7-8273-41CA2369EB4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72</Pages>
  <Words>7702</Words>
  <Characters>43904</Characters>
  <Lines>365</Lines>
  <Paragraphs>103</Paragraphs>
  <TotalTime>0</TotalTime>
  <ScaleCrop>false</ScaleCrop>
  <LinksUpToDate>false</LinksUpToDate>
  <CharactersWithSpaces>51503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2021-12-16T09:03:00Z</dcterms:created>
  <dc:creator>微软用户</dc:creator>
  <cp:lastModifiedBy>薛逸</cp:lastModifiedBy>
  <cp:lastPrinted>2020-05-26T01:03:00Z</cp:lastPrinted>
  <dcterms:modified xsi:type="dcterms:W3CDTF">2021-12-28T09:03:39Z</dcterms:modified>
  <dc:title>招标编号：UHO2010-G0029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7F58AF04A3BF494EBA628C843111B772</vt:lpwstr>
  </property>
</Properties>
</file>